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50"/>
      </w:tblGrid>
      <w:tr w:rsidR="0059186D" w:rsidRPr="00117035" w14:paraId="534B501B" w14:textId="77777777" w:rsidTr="00340076">
        <w:trPr>
          <w:trHeight w:val="90"/>
        </w:trPr>
        <w:tc>
          <w:tcPr>
            <w:tcW w:w="9450" w:type="dxa"/>
            <w:tcBorders>
              <w:top w:val="nil"/>
              <w:left w:val="nil"/>
              <w:bottom w:val="single" w:sz="4" w:space="0" w:color="403152" w:themeColor="accent4" w:themeShade="80"/>
              <w:right w:val="nil"/>
            </w:tcBorders>
            <w:shd w:val="clear" w:color="auto" w:fill="auto"/>
          </w:tcPr>
          <w:p w14:paraId="4D190115" w14:textId="77777777" w:rsidR="0059186D" w:rsidRPr="00117035" w:rsidRDefault="0059186D" w:rsidP="009F10E3">
            <w:pPr>
              <w:contextualSpacing w:val="0"/>
              <w:rPr>
                <w:b/>
                <w:szCs w:val="22"/>
              </w:rPr>
            </w:pPr>
            <w:bookmarkStart w:id="0" w:name="_GoBack"/>
            <w:bookmarkEnd w:id="0"/>
          </w:p>
        </w:tc>
      </w:tr>
      <w:tr w:rsidR="0059186D" w:rsidRPr="00117035" w14:paraId="1FD0E76B" w14:textId="77777777" w:rsidTr="00340076">
        <w:trPr>
          <w:trHeight w:val="90"/>
        </w:trPr>
        <w:tc>
          <w:tcPr>
            <w:tcW w:w="94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14:paraId="0B4CEE9C" w14:textId="07C491B8" w:rsidR="00534776" w:rsidRDefault="0059186D" w:rsidP="00E516A7">
            <w:pPr>
              <w:rPr>
                <w:sz w:val="18"/>
              </w:rPr>
            </w:pPr>
            <w:r w:rsidRPr="00117035">
              <w:rPr>
                <w:b/>
              </w:rPr>
              <w:t xml:space="preserve">Budget: </w:t>
            </w:r>
            <w:r w:rsidRPr="00117035">
              <w:rPr>
                <w:sz w:val="18"/>
              </w:rPr>
              <w:t xml:space="preserve">Requests of up to US $5,000 in direct costs are permitted. Allowable line items include air tickets on U.S. air carriers, </w:t>
            </w:r>
            <w:r w:rsidR="00B84244">
              <w:rPr>
                <w:sz w:val="18"/>
              </w:rPr>
              <w:t>l</w:t>
            </w:r>
            <w:r w:rsidR="00E516A7">
              <w:rPr>
                <w:sz w:val="18"/>
              </w:rPr>
              <w:t>odging</w:t>
            </w:r>
            <w:r w:rsidRPr="00117035">
              <w:rPr>
                <w:sz w:val="18"/>
              </w:rPr>
              <w:t xml:space="preserve">, ground transport, </w:t>
            </w:r>
            <w:r w:rsidR="00B84244">
              <w:rPr>
                <w:sz w:val="18"/>
              </w:rPr>
              <w:t>m</w:t>
            </w:r>
            <w:r w:rsidRPr="00117035">
              <w:rPr>
                <w:sz w:val="18"/>
              </w:rPr>
              <w:t>eals</w:t>
            </w:r>
            <w:r w:rsidR="00E516A7">
              <w:rPr>
                <w:sz w:val="18"/>
              </w:rPr>
              <w:t xml:space="preserve"> &amp; </w:t>
            </w:r>
            <w:r w:rsidR="00B84244">
              <w:rPr>
                <w:sz w:val="18"/>
              </w:rPr>
              <w:t>i</w:t>
            </w:r>
            <w:r w:rsidR="00E516A7">
              <w:rPr>
                <w:sz w:val="18"/>
              </w:rPr>
              <w:t xml:space="preserve">ncidental </w:t>
            </w:r>
            <w:r w:rsidR="00B84244">
              <w:rPr>
                <w:sz w:val="18"/>
              </w:rPr>
              <w:t>ex</w:t>
            </w:r>
            <w:r w:rsidR="00E516A7">
              <w:rPr>
                <w:sz w:val="18"/>
              </w:rPr>
              <w:t xml:space="preserve">penses, and </w:t>
            </w:r>
            <w:r w:rsidRPr="00117035">
              <w:rPr>
                <w:sz w:val="18"/>
              </w:rPr>
              <w:t xml:space="preserve">research supplies. </w:t>
            </w:r>
            <w:r w:rsidR="00967929">
              <w:rPr>
                <w:sz w:val="18"/>
              </w:rPr>
              <w:t xml:space="preserve">No other items are allowed. </w:t>
            </w:r>
          </w:p>
          <w:p w14:paraId="216A7F23" w14:textId="77777777" w:rsidR="00534776" w:rsidRDefault="00534776" w:rsidP="00E516A7">
            <w:pPr>
              <w:rPr>
                <w:sz w:val="18"/>
              </w:rPr>
            </w:pPr>
          </w:p>
          <w:p w14:paraId="304597AB" w14:textId="77777777" w:rsidR="00C35E89" w:rsidRDefault="00534776" w:rsidP="0059186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Restrictions: </w:t>
            </w:r>
            <w:r>
              <w:rPr>
                <w:sz w:val="18"/>
              </w:rPr>
              <w:t xml:space="preserve">It is not permissible to purchase a laptop using this grant. </w:t>
            </w:r>
            <w:r w:rsidR="00EA5CA3">
              <w:rPr>
                <w:sz w:val="18"/>
              </w:rPr>
              <w:t>R</w:t>
            </w:r>
            <w:r w:rsidR="001814E9">
              <w:rPr>
                <w:sz w:val="18"/>
              </w:rPr>
              <w:t xml:space="preserve">equests for </w:t>
            </w:r>
            <w:r w:rsidR="00BE5DA0">
              <w:rPr>
                <w:sz w:val="18"/>
              </w:rPr>
              <w:t>l</w:t>
            </w:r>
            <w:r w:rsidR="001814E9">
              <w:rPr>
                <w:sz w:val="18"/>
              </w:rPr>
              <w:t xml:space="preserve">odging or </w:t>
            </w:r>
            <w:r w:rsidR="00B84244">
              <w:rPr>
                <w:sz w:val="18"/>
              </w:rPr>
              <w:t>m</w:t>
            </w:r>
            <w:r w:rsidR="00E516A7">
              <w:rPr>
                <w:sz w:val="18"/>
              </w:rPr>
              <w:t xml:space="preserve">eals </w:t>
            </w:r>
            <w:r w:rsidR="001814E9">
              <w:rPr>
                <w:sz w:val="18"/>
              </w:rPr>
              <w:t>&amp;</w:t>
            </w:r>
            <w:r w:rsidR="00E516A7">
              <w:rPr>
                <w:sz w:val="18"/>
              </w:rPr>
              <w:t xml:space="preserve">Incidental Expenses </w:t>
            </w:r>
            <w:r>
              <w:rPr>
                <w:sz w:val="18"/>
              </w:rPr>
              <w:t xml:space="preserve">(M&amp;IE) </w:t>
            </w:r>
            <w:r w:rsidR="00EA5CA3">
              <w:rPr>
                <w:sz w:val="18"/>
              </w:rPr>
              <w:t>may not exceed</w:t>
            </w:r>
            <w:r w:rsidR="00F40906">
              <w:rPr>
                <w:sz w:val="18"/>
              </w:rPr>
              <w:t xml:space="preserve"> </w:t>
            </w:r>
            <w:r w:rsidR="00E516A7">
              <w:rPr>
                <w:sz w:val="18"/>
              </w:rPr>
              <w:t xml:space="preserve">rates published by the State Department Office of Allowances, available online at </w:t>
            </w:r>
            <w:hyperlink r:id="rId9" w:history="1">
              <w:r w:rsidR="00E516A7" w:rsidRPr="0052552D">
                <w:rPr>
                  <w:rStyle w:val="Hyperlink"/>
                  <w:sz w:val="18"/>
                </w:rPr>
                <w:t>http://aoprals.state.gov/content.asp?content_id=184&amp;menu_id=78</w:t>
              </w:r>
            </w:hyperlink>
            <w:r w:rsidR="001814E9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All travel must comply with the Fly America Act. </w:t>
            </w:r>
            <w:r w:rsidR="00E516A7">
              <w:rPr>
                <w:sz w:val="18"/>
              </w:rPr>
              <w:t>I</w:t>
            </w:r>
            <w:r w:rsidR="0059186D" w:rsidRPr="00117035">
              <w:rPr>
                <w:sz w:val="18"/>
              </w:rPr>
              <w:t xml:space="preserve">f you </w:t>
            </w:r>
            <w:r w:rsidR="00E516A7">
              <w:rPr>
                <w:sz w:val="18"/>
              </w:rPr>
              <w:t xml:space="preserve">expect </w:t>
            </w:r>
            <w:r w:rsidR="0059186D" w:rsidRPr="00117035">
              <w:rPr>
                <w:sz w:val="18"/>
              </w:rPr>
              <w:t xml:space="preserve">other classes of expenses that </w:t>
            </w:r>
            <w:r w:rsidR="00E516A7">
              <w:rPr>
                <w:sz w:val="18"/>
              </w:rPr>
              <w:t xml:space="preserve">are not listed above, but </w:t>
            </w:r>
            <w:r w:rsidR="0059186D" w:rsidRPr="00117035">
              <w:rPr>
                <w:sz w:val="18"/>
              </w:rPr>
              <w:t>may be critical for your research</w:t>
            </w:r>
            <w:r w:rsidR="00E516A7">
              <w:rPr>
                <w:sz w:val="18"/>
              </w:rPr>
              <w:t>, p</w:t>
            </w:r>
            <w:r w:rsidR="00E516A7" w:rsidRPr="00117035">
              <w:rPr>
                <w:sz w:val="18"/>
              </w:rPr>
              <w:t xml:space="preserve">lease contact </w:t>
            </w:r>
            <w:hyperlink r:id="rId10" w:history="1">
              <w:r w:rsidR="00E516A7" w:rsidRPr="00117035">
                <w:rPr>
                  <w:rStyle w:val="Hyperlink"/>
                  <w:sz w:val="18"/>
                </w:rPr>
                <w:t>dil-grants@berkeley.edu</w:t>
              </w:r>
            </w:hyperlink>
            <w:r w:rsidR="00E516A7">
              <w:rPr>
                <w:sz w:val="18"/>
              </w:rPr>
              <w:t xml:space="preserve"> prior to submitting your application</w:t>
            </w:r>
            <w:r w:rsidR="0059186D" w:rsidRPr="00117035">
              <w:rPr>
                <w:sz w:val="18"/>
              </w:rPr>
              <w:t xml:space="preserve">. </w:t>
            </w:r>
          </w:p>
          <w:p w14:paraId="1AAB3C4C" w14:textId="77777777" w:rsidR="00C35E89" w:rsidRDefault="00C35E89" w:rsidP="0059186D">
            <w:pPr>
              <w:rPr>
                <w:sz w:val="18"/>
              </w:rPr>
            </w:pPr>
          </w:p>
          <w:p w14:paraId="0D9C187E" w14:textId="78D83D0E" w:rsidR="0059186D" w:rsidRDefault="00E516A7" w:rsidP="0059186D">
            <w:r>
              <w:rPr>
                <w:sz w:val="18"/>
              </w:rPr>
              <w:t>Note that a</w:t>
            </w:r>
            <w:r w:rsidR="0059186D" w:rsidRPr="00117035">
              <w:rPr>
                <w:sz w:val="18"/>
              </w:rPr>
              <w:t xml:space="preserve">ll travel and </w:t>
            </w:r>
            <w:r w:rsidR="00FA6FA7" w:rsidRPr="00117035">
              <w:rPr>
                <w:sz w:val="18"/>
              </w:rPr>
              <w:t>related project costs</w:t>
            </w:r>
            <w:r w:rsidR="00A805BD">
              <w:rPr>
                <w:sz w:val="18"/>
              </w:rPr>
              <w:t xml:space="preserve"> with the possible exception of flights</w:t>
            </w:r>
            <w:r w:rsidR="00FA6FA7" w:rsidRPr="00117035">
              <w:rPr>
                <w:sz w:val="18"/>
              </w:rPr>
              <w:t xml:space="preserve"> </w:t>
            </w:r>
            <w:r w:rsidR="0059186D" w:rsidRPr="00117035">
              <w:rPr>
                <w:sz w:val="18"/>
              </w:rPr>
              <w:t>are expected to be purchased directly by the traveler</w:t>
            </w:r>
            <w:r w:rsidR="00FA6FA7" w:rsidRPr="00117035">
              <w:rPr>
                <w:sz w:val="18"/>
              </w:rPr>
              <w:t xml:space="preserve">; expenses will be </w:t>
            </w:r>
            <w:r w:rsidR="0059186D" w:rsidRPr="00117035">
              <w:rPr>
                <w:sz w:val="18"/>
              </w:rPr>
              <w:t xml:space="preserve">reimbursed by UC Berkeley following </w:t>
            </w:r>
            <w:r>
              <w:rPr>
                <w:sz w:val="18"/>
              </w:rPr>
              <w:t xml:space="preserve">the </w:t>
            </w:r>
            <w:r w:rsidR="0059186D" w:rsidRPr="00117035">
              <w:rPr>
                <w:sz w:val="18"/>
              </w:rPr>
              <w:t xml:space="preserve">completion of </w:t>
            </w:r>
            <w:r w:rsidR="00FA6FA7" w:rsidRPr="00117035">
              <w:rPr>
                <w:sz w:val="18"/>
              </w:rPr>
              <w:t>travel</w:t>
            </w:r>
            <w:r w:rsidR="0059186D" w:rsidRPr="00117035">
              <w:rPr>
                <w:sz w:val="18"/>
              </w:rPr>
              <w:t xml:space="preserve">. </w:t>
            </w:r>
            <w:r w:rsidR="00B84244" w:rsidRPr="00C35E89">
              <w:rPr>
                <w:sz w:val="18"/>
              </w:rPr>
              <w:t xml:space="preserve">DIL Explore grant recipients will also be asked to provide travel information to be submitted to USAID prior to travel, e.g. dates of travel and IRB approval/exemption status (as needed).  </w:t>
            </w:r>
          </w:p>
          <w:p w14:paraId="386444C8" w14:textId="77777777" w:rsidR="00FA6FA7" w:rsidRPr="00117035" w:rsidRDefault="00FA6FA7" w:rsidP="0059186D"/>
          <w:tbl>
            <w:tblPr>
              <w:tblW w:w="0" w:type="auto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0"/>
              <w:gridCol w:w="6049"/>
              <w:gridCol w:w="1080"/>
            </w:tblGrid>
            <w:tr w:rsidR="0059186D" w:rsidRPr="00117035" w14:paraId="604D0F40" w14:textId="77777777" w:rsidTr="00A805BD">
              <w:tc>
                <w:tcPr>
                  <w:tcW w:w="1260" w:type="dxa"/>
                </w:tcPr>
                <w:p w14:paraId="79AF9088" w14:textId="77777777" w:rsidR="0059186D" w:rsidRPr="00117035" w:rsidRDefault="0059186D" w:rsidP="003A00E8">
                  <w:pPr>
                    <w:rPr>
                      <w:b/>
                      <w:i/>
                      <w:szCs w:val="22"/>
                    </w:rPr>
                  </w:pPr>
                  <w:r w:rsidRPr="00117035">
                    <w:rPr>
                      <w:b/>
                      <w:i/>
                      <w:szCs w:val="22"/>
                    </w:rPr>
                    <w:t>Expense</w:t>
                  </w:r>
                </w:p>
              </w:tc>
              <w:tc>
                <w:tcPr>
                  <w:tcW w:w="6049" w:type="dxa"/>
                </w:tcPr>
                <w:p w14:paraId="5F48B67A" w14:textId="77777777" w:rsidR="0059186D" w:rsidRPr="00117035" w:rsidRDefault="0059186D" w:rsidP="005206BD">
                  <w:pPr>
                    <w:rPr>
                      <w:b/>
                      <w:i/>
                      <w:szCs w:val="22"/>
                    </w:rPr>
                  </w:pPr>
                  <w:r w:rsidRPr="00117035">
                    <w:rPr>
                      <w:b/>
                      <w:i/>
                      <w:szCs w:val="22"/>
                    </w:rPr>
                    <w:t>Description &amp; Justification</w:t>
                  </w:r>
                </w:p>
              </w:tc>
              <w:tc>
                <w:tcPr>
                  <w:tcW w:w="1080" w:type="dxa"/>
                </w:tcPr>
                <w:p w14:paraId="038D56F1" w14:textId="77777777" w:rsidR="0059186D" w:rsidRPr="00117035" w:rsidRDefault="0059186D" w:rsidP="005206BD">
                  <w:pPr>
                    <w:rPr>
                      <w:b/>
                      <w:i/>
                      <w:szCs w:val="22"/>
                    </w:rPr>
                  </w:pPr>
                  <w:r w:rsidRPr="00117035">
                    <w:rPr>
                      <w:b/>
                      <w:i/>
                      <w:szCs w:val="22"/>
                    </w:rPr>
                    <w:t>Amount</w:t>
                  </w:r>
                </w:p>
              </w:tc>
            </w:tr>
            <w:tr w:rsidR="0059186D" w:rsidRPr="00117035" w14:paraId="608BEA98" w14:textId="77777777" w:rsidTr="00A805BD">
              <w:tc>
                <w:tcPr>
                  <w:tcW w:w="1260" w:type="dxa"/>
                </w:tcPr>
                <w:p w14:paraId="074EF0D5" w14:textId="77777777" w:rsidR="0059186D" w:rsidRPr="00A805BD" w:rsidRDefault="00534776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>
                    <w:rPr>
                      <w:i/>
                      <w:color w:val="808080" w:themeColor="background1" w:themeShade="80"/>
                      <w:szCs w:val="22"/>
                    </w:rPr>
                    <w:t>Air travel</w:t>
                  </w:r>
                </w:p>
              </w:tc>
              <w:tc>
                <w:tcPr>
                  <w:tcW w:w="6049" w:type="dxa"/>
                </w:tcPr>
                <w:p w14:paraId="7A79C20A" w14:textId="77777777" w:rsidR="0059186D" w:rsidRPr="00A805BD" w:rsidRDefault="0059186D" w:rsidP="003A00E8">
                  <w:pPr>
                    <w:ind w:left="720"/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2C15EF59" w14:textId="77777777" w:rsidR="0059186D" w:rsidRPr="00A805BD" w:rsidRDefault="0059186D" w:rsidP="005206BD">
                  <w:pPr>
                    <w:ind w:left="720"/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</w:tr>
            <w:tr w:rsidR="0059186D" w:rsidRPr="00117035" w14:paraId="65588888" w14:textId="77777777" w:rsidTr="00A805BD">
              <w:tc>
                <w:tcPr>
                  <w:tcW w:w="1260" w:type="dxa"/>
                </w:tcPr>
                <w:p w14:paraId="72B3AB13" w14:textId="77777777" w:rsidR="0059186D" w:rsidRPr="00A805BD" w:rsidRDefault="00534776" w:rsidP="00534776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>
                    <w:rPr>
                      <w:i/>
                      <w:color w:val="808080" w:themeColor="background1" w:themeShade="80"/>
                      <w:szCs w:val="22"/>
                    </w:rPr>
                    <w:t>Lodging</w:t>
                  </w:r>
                </w:p>
              </w:tc>
              <w:tc>
                <w:tcPr>
                  <w:tcW w:w="6049" w:type="dxa"/>
                </w:tcPr>
                <w:p w14:paraId="71B6DA48" w14:textId="77777777" w:rsidR="0059186D" w:rsidRPr="00A805BD" w:rsidRDefault="0059186D" w:rsidP="003A00E8">
                  <w:pPr>
                    <w:ind w:left="720"/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0EE0E908" w14:textId="77777777" w:rsidR="0059186D" w:rsidRPr="00A805BD" w:rsidRDefault="0059186D" w:rsidP="003A00E8">
                  <w:pPr>
                    <w:ind w:left="720"/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</w:tr>
            <w:tr w:rsidR="003A00E8" w:rsidRPr="00117035" w14:paraId="4F128FAF" w14:textId="77777777">
              <w:tc>
                <w:tcPr>
                  <w:tcW w:w="1260" w:type="dxa"/>
                </w:tcPr>
                <w:p w14:paraId="107AC531" w14:textId="77777777" w:rsidR="003A00E8" w:rsidRPr="003A00E8" w:rsidRDefault="00534776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>
                    <w:rPr>
                      <w:i/>
                      <w:color w:val="808080" w:themeColor="background1" w:themeShade="80"/>
                      <w:szCs w:val="22"/>
                    </w:rPr>
                    <w:t>M&amp;IE</w:t>
                  </w:r>
                </w:p>
              </w:tc>
              <w:tc>
                <w:tcPr>
                  <w:tcW w:w="6049" w:type="dxa"/>
                </w:tcPr>
                <w:p w14:paraId="50EB9EF9" w14:textId="77777777" w:rsidR="003A00E8" w:rsidRDefault="003A00E8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7A3E9CCE" w14:textId="77777777" w:rsidR="003A00E8" w:rsidRPr="003A00E8" w:rsidRDefault="003A00E8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</w:tr>
            <w:tr w:rsidR="00534776" w:rsidRPr="00117035" w14:paraId="18E950F2" w14:textId="77777777">
              <w:tc>
                <w:tcPr>
                  <w:tcW w:w="1260" w:type="dxa"/>
                </w:tcPr>
                <w:p w14:paraId="161F085D" w14:textId="77777777" w:rsidR="00534776" w:rsidRDefault="00534776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>
                    <w:rPr>
                      <w:i/>
                      <w:color w:val="808080" w:themeColor="background1" w:themeShade="80"/>
                      <w:szCs w:val="22"/>
                    </w:rPr>
                    <w:t>Transit</w:t>
                  </w:r>
                </w:p>
              </w:tc>
              <w:tc>
                <w:tcPr>
                  <w:tcW w:w="6049" w:type="dxa"/>
                </w:tcPr>
                <w:p w14:paraId="3F909ED1" w14:textId="77777777" w:rsidR="00534776" w:rsidRPr="003A00E8" w:rsidRDefault="00534776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2A299942" w14:textId="77777777" w:rsidR="00534776" w:rsidRPr="003A00E8" w:rsidRDefault="00534776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</w:tr>
            <w:tr w:rsidR="0059186D" w:rsidRPr="00117035" w14:paraId="0C0DFA1B" w14:textId="77777777" w:rsidTr="00A805BD">
              <w:tc>
                <w:tcPr>
                  <w:tcW w:w="1260" w:type="dxa"/>
                </w:tcPr>
                <w:p w14:paraId="49D310D5" w14:textId="77777777" w:rsidR="0059186D" w:rsidRPr="00A805BD" w:rsidRDefault="00534776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>
                    <w:rPr>
                      <w:i/>
                      <w:color w:val="808080" w:themeColor="background1" w:themeShade="80"/>
                      <w:szCs w:val="22"/>
                    </w:rPr>
                    <w:t>Supplies</w:t>
                  </w:r>
                </w:p>
              </w:tc>
              <w:tc>
                <w:tcPr>
                  <w:tcW w:w="6049" w:type="dxa"/>
                </w:tcPr>
                <w:p w14:paraId="413988B5" w14:textId="77777777" w:rsidR="0059186D" w:rsidRPr="00A805BD" w:rsidRDefault="0059186D" w:rsidP="003A00E8">
                  <w:pPr>
                    <w:ind w:left="720"/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573E4C9D" w14:textId="77777777" w:rsidR="0059186D" w:rsidRPr="00A805BD" w:rsidRDefault="0059186D" w:rsidP="005206BD">
                  <w:pPr>
                    <w:ind w:left="720"/>
                    <w:rPr>
                      <w:i/>
                      <w:color w:val="808080" w:themeColor="background1" w:themeShade="80"/>
                      <w:szCs w:val="22"/>
                    </w:rPr>
                  </w:pPr>
                </w:p>
              </w:tc>
            </w:tr>
            <w:tr w:rsidR="0059186D" w:rsidRPr="00117035" w14:paraId="729A9478" w14:textId="77777777">
              <w:tc>
                <w:tcPr>
                  <w:tcW w:w="7309" w:type="dxa"/>
                  <w:gridSpan w:val="2"/>
                </w:tcPr>
                <w:p w14:paraId="0F4093D6" w14:textId="77777777" w:rsidR="0059186D" w:rsidRPr="00117035" w:rsidRDefault="0059186D" w:rsidP="00244EF7">
                  <w:pPr>
                    <w:jc w:val="right"/>
                    <w:rPr>
                      <w:b/>
                      <w:szCs w:val="22"/>
                    </w:rPr>
                  </w:pPr>
                  <w:r w:rsidRPr="00117035">
                    <w:rPr>
                      <w:b/>
                      <w:szCs w:val="22"/>
                    </w:rPr>
                    <w:t>Total</w:t>
                  </w:r>
                </w:p>
              </w:tc>
              <w:tc>
                <w:tcPr>
                  <w:tcW w:w="1080" w:type="dxa"/>
                </w:tcPr>
                <w:p w14:paraId="3B742ACB" w14:textId="77777777" w:rsidR="0059186D" w:rsidRPr="00117035" w:rsidRDefault="0059186D" w:rsidP="005206BD">
                  <w:pPr>
                    <w:rPr>
                      <w:szCs w:val="22"/>
                    </w:rPr>
                  </w:pPr>
                  <w:r w:rsidRPr="00117035">
                    <w:rPr>
                      <w:szCs w:val="22"/>
                    </w:rPr>
                    <w:t>$</w:t>
                  </w:r>
                </w:p>
              </w:tc>
            </w:tr>
          </w:tbl>
          <w:p w14:paraId="2F3EC0EC" w14:textId="77777777" w:rsidR="0059186D" w:rsidRPr="00117035" w:rsidRDefault="0059186D" w:rsidP="005206BD">
            <w:pPr>
              <w:rPr>
                <w:b/>
                <w:szCs w:val="22"/>
              </w:rPr>
            </w:pPr>
          </w:p>
          <w:p w14:paraId="157BE4FE" w14:textId="77777777" w:rsidR="003A00E8" w:rsidRPr="00A805BD" w:rsidRDefault="003A00E8" w:rsidP="003A00E8">
            <w:pPr>
              <w:rPr>
                <w:b/>
                <w:i/>
                <w:color w:val="808080" w:themeColor="background1" w:themeShade="80"/>
              </w:rPr>
            </w:pPr>
            <w:r w:rsidRPr="00A805BD">
              <w:rPr>
                <w:b/>
                <w:i/>
                <w:color w:val="808080" w:themeColor="background1" w:themeShade="80"/>
              </w:rPr>
              <w:t>SAMPLE BUDGET</w:t>
            </w:r>
          </w:p>
          <w:p w14:paraId="4D0CB426" w14:textId="77777777" w:rsidR="003A00E8" w:rsidRPr="00117035" w:rsidRDefault="003A00E8" w:rsidP="003A00E8"/>
          <w:tbl>
            <w:tblPr>
              <w:tblW w:w="0" w:type="auto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0"/>
              <w:gridCol w:w="6049"/>
              <w:gridCol w:w="1080"/>
            </w:tblGrid>
            <w:tr w:rsidR="003A00E8" w:rsidRPr="00117035" w14:paraId="40C94B4C" w14:textId="77777777">
              <w:tc>
                <w:tcPr>
                  <w:tcW w:w="1260" w:type="dxa"/>
                </w:tcPr>
                <w:p w14:paraId="7B67E167" w14:textId="77777777" w:rsidR="003A00E8" w:rsidRPr="00A805BD" w:rsidRDefault="003A00E8" w:rsidP="003A00E8">
                  <w:pPr>
                    <w:rPr>
                      <w:b/>
                      <w:i/>
                      <w:color w:val="808080" w:themeColor="background1" w:themeShade="80"/>
                      <w:szCs w:val="22"/>
                    </w:rPr>
                  </w:pPr>
                  <w:r w:rsidRPr="00A805BD">
                    <w:rPr>
                      <w:b/>
                      <w:i/>
                      <w:color w:val="808080" w:themeColor="background1" w:themeShade="80"/>
                      <w:szCs w:val="22"/>
                    </w:rPr>
                    <w:t xml:space="preserve">Expense </w:t>
                  </w:r>
                </w:p>
              </w:tc>
              <w:tc>
                <w:tcPr>
                  <w:tcW w:w="6049" w:type="dxa"/>
                </w:tcPr>
                <w:p w14:paraId="5B3F372F" w14:textId="77777777" w:rsidR="003A00E8" w:rsidRPr="00A805BD" w:rsidRDefault="003A00E8" w:rsidP="005206BD">
                  <w:pPr>
                    <w:rPr>
                      <w:b/>
                      <w:i/>
                      <w:color w:val="808080" w:themeColor="background1" w:themeShade="80"/>
                      <w:szCs w:val="22"/>
                    </w:rPr>
                  </w:pPr>
                  <w:r w:rsidRPr="00A805BD">
                    <w:rPr>
                      <w:b/>
                      <w:i/>
                      <w:color w:val="808080" w:themeColor="background1" w:themeShade="80"/>
                      <w:szCs w:val="22"/>
                    </w:rPr>
                    <w:t>Description &amp; Justification</w:t>
                  </w:r>
                </w:p>
              </w:tc>
              <w:tc>
                <w:tcPr>
                  <w:tcW w:w="1080" w:type="dxa"/>
                </w:tcPr>
                <w:p w14:paraId="2334EF33" w14:textId="77777777" w:rsidR="003A00E8" w:rsidRPr="00A805BD" w:rsidRDefault="003A00E8" w:rsidP="005206BD">
                  <w:pPr>
                    <w:rPr>
                      <w:b/>
                      <w:i/>
                      <w:color w:val="808080" w:themeColor="background1" w:themeShade="80"/>
                      <w:szCs w:val="22"/>
                    </w:rPr>
                  </w:pPr>
                  <w:r w:rsidRPr="00A805BD">
                    <w:rPr>
                      <w:b/>
                      <w:i/>
                      <w:color w:val="808080" w:themeColor="background1" w:themeShade="80"/>
                      <w:szCs w:val="22"/>
                    </w:rPr>
                    <w:t>Amount</w:t>
                  </w:r>
                </w:p>
              </w:tc>
            </w:tr>
            <w:tr w:rsidR="003A00E8" w:rsidRPr="00117035" w14:paraId="164869A1" w14:textId="77777777">
              <w:tc>
                <w:tcPr>
                  <w:tcW w:w="1260" w:type="dxa"/>
                </w:tcPr>
                <w:p w14:paraId="055A7F4D" w14:textId="77777777" w:rsidR="003A00E8" w:rsidRPr="003A00E8" w:rsidRDefault="003A00E8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Ticket</w:t>
                  </w:r>
                </w:p>
              </w:tc>
              <w:tc>
                <w:tcPr>
                  <w:tcW w:w="6049" w:type="dxa"/>
                </w:tcPr>
                <w:p w14:paraId="7BD25488" w14:textId="77777777" w:rsidR="003A00E8" w:rsidRPr="003A00E8" w:rsidRDefault="003A00E8" w:rsidP="00534776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Roundtrip air ticket from SFO to BOM, on U.S. air carrier, to meet collaborators at IIT Bombay and conduct informal interviews with potential consumers of the technology</w:t>
                  </w:r>
                  <w:r w:rsidR="00534776">
                    <w:rPr>
                      <w:i/>
                      <w:color w:val="808080" w:themeColor="background1" w:themeShade="80"/>
                      <w:szCs w:val="22"/>
                    </w:rPr>
                    <w:t>. Expected dates of travel are 5/28/14-6/12/14</w:t>
                  </w:r>
                </w:p>
              </w:tc>
              <w:tc>
                <w:tcPr>
                  <w:tcW w:w="1080" w:type="dxa"/>
                </w:tcPr>
                <w:p w14:paraId="4F01E203" w14:textId="77777777" w:rsidR="003A00E8" w:rsidRPr="003A00E8" w:rsidRDefault="003A00E8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$1,400</w:t>
                  </w:r>
                </w:p>
              </w:tc>
            </w:tr>
            <w:tr w:rsidR="003A00E8" w:rsidRPr="00117035" w14:paraId="063B4229" w14:textId="77777777">
              <w:tc>
                <w:tcPr>
                  <w:tcW w:w="1260" w:type="dxa"/>
                </w:tcPr>
                <w:p w14:paraId="73090579" w14:textId="77777777" w:rsidR="003A00E8" w:rsidRPr="003A00E8" w:rsidRDefault="003A00E8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Lodging</w:t>
                  </w:r>
                </w:p>
              </w:tc>
              <w:tc>
                <w:tcPr>
                  <w:tcW w:w="6049" w:type="dxa"/>
                </w:tcPr>
                <w:p w14:paraId="3C23F7CE" w14:textId="77777777" w:rsidR="003A00E8" w:rsidRPr="003A00E8" w:rsidRDefault="003A00E8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Hostel accommodation in Mumbai, India for 14 days, at a rate of $50 per day</w:t>
                  </w:r>
                </w:p>
              </w:tc>
              <w:tc>
                <w:tcPr>
                  <w:tcW w:w="1080" w:type="dxa"/>
                </w:tcPr>
                <w:p w14:paraId="4AE6759F" w14:textId="77777777" w:rsidR="003A00E8" w:rsidRPr="003A00E8" w:rsidRDefault="003A00E8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$700</w:t>
                  </w:r>
                </w:p>
              </w:tc>
            </w:tr>
            <w:tr w:rsidR="00534776" w:rsidRPr="003A00E8" w14:paraId="58A0E3BB" w14:textId="77777777">
              <w:tc>
                <w:tcPr>
                  <w:tcW w:w="1260" w:type="dxa"/>
                </w:tcPr>
                <w:p w14:paraId="2A65D9DD" w14:textId="77777777" w:rsidR="00534776" w:rsidRPr="003A00E8" w:rsidRDefault="00534776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M&amp;IE</w:t>
                  </w:r>
                </w:p>
              </w:tc>
              <w:tc>
                <w:tcPr>
                  <w:tcW w:w="6049" w:type="dxa"/>
                </w:tcPr>
                <w:p w14:paraId="2063CB41" w14:textId="77777777" w:rsidR="00534776" w:rsidRPr="003A00E8" w:rsidRDefault="00534776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Meals at $15 per day plus mobile phone minutes ($50 total)</w:t>
                  </w:r>
                </w:p>
              </w:tc>
              <w:tc>
                <w:tcPr>
                  <w:tcW w:w="1080" w:type="dxa"/>
                </w:tcPr>
                <w:p w14:paraId="2F793988" w14:textId="77777777" w:rsidR="00534776" w:rsidRPr="003A00E8" w:rsidRDefault="00534776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$260</w:t>
                  </w:r>
                </w:p>
              </w:tc>
            </w:tr>
            <w:tr w:rsidR="003A00E8" w:rsidRPr="00117035" w14:paraId="78D54C82" w14:textId="77777777">
              <w:tc>
                <w:tcPr>
                  <w:tcW w:w="1260" w:type="dxa"/>
                </w:tcPr>
                <w:p w14:paraId="2F4D6828" w14:textId="77777777" w:rsidR="003A00E8" w:rsidRPr="003A00E8" w:rsidRDefault="003A00E8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Transit</w:t>
                  </w:r>
                </w:p>
              </w:tc>
              <w:tc>
                <w:tcPr>
                  <w:tcW w:w="6049" w:type="dxa"/>
                </w:tcPr>
                <w:p w14:paraId="47A19D99" w14:textId="77777777" w:rsidR="003A00E8" w:rsidRPr="003A00E8" w:rsidRDefault="003A00E8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Hire of a car for 10 days total, at $50 per day, for field visits</w:t>
                  </w:r>
                </w:p>
              </w:tc>
              <w:tc>
                <w:tcPr>
                  <w:tcW w:w="1080" w:type="dxa"/>
                </w:tcPr>
                <w:p w14:paraId="1E27D2F9" w14:textId="77777777" w:rsidR="003A00E8" w:rsidRPr="003A00E8" w:rsidRDefault="003A00E8" w:rsidP="003A00E8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 w:rsidRPr="003A00E8">
                    <w:rPr>
                      <w:i/>
                      <w:color w:val="808080" w:themeColor="background1" w:themeShade="80"/>
                      <w:szCs w:val="22"/>
                    </w:rPr>
                    <w:t>$500</w:t>
                  </w:r>
                </w:p>
              </w:tc>
            </w:tr>
            <w:tr w:rsidR="003A00E8" w:rsidRPr="00117035" w14:paraId="268A85B3" w14:textId="77777777">
              <w:tc>
                <w:tcPr>
                  <w:tcW w:w="1260" w:type="dxa"/>
                </w:tcPr>
                <w:p w14:paraId="29E4FDF4" w14:textId="77777777" w:rsidR="003A00E8" w:rsidRPr="003A00E8" w:rsidRDefault="00534776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>
                    <w:rPr>
                      <w:i/>
                      <w:color w:val="808080" w:themeColor="background1" w:themeShade="80"/>
                      <w:szCs w:val="22"/>
                    </w:rPr>
                    <w:t>Supplies</w:t>
                  </w:r>
                </w:p>
              </w:tc>
              <w:tc>
                <w:tcPr>
                  <w:tcW w:w="6049" w:type="dxa"/>
                </w:tcPr>
                <w:p w14:paraId="50EF54AE" w14:textId="77777777" w:rsidR="003A00E8" w:rsidRPr="003A00E8" w:rsidRDefault="00534776" w:rsidP="00534776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>
                    <w:rPr>
                      <w:i/>
                      <w:color w:val="808080" w:themeColor="background1" w:themeShade="80"/>
                      <w:szCs w:val="22"/>
                    </w:rPr>
                    <w:t>Translator (10 days @ $10 per day); assay kits (50 @ $20 each); laboratory consumables ($200 total); shipping samples ($500 total)</w:t>
                  </w:r>
                </w:p>
              </w:tc>
              <w:tc>
                <w:tcPr>
                  <w:tcW w:w="1080" w:type="dxa"/>
                </w:tcPr>
                <w:p w14:paraId="0890654A" w14:textId="77777777" w:rsidR="003A00E8" w:rsidRPr="003A00E8" w:rsidRDefault="00534776" w:rsidP="005206BD">
                  <w:pPr>
                    <w:rPr>
                      <w:i/>
                      <w:color w:val="808080" w:themeColor="background1" w:themeShade="80"/>
                      <w:szCs w:val="22"/>
                    </w:rPr>
                  </w:pPr>
                  <w:r>
                    <w:rPr>
                      <w:i/>
                      <w:color w:val="808080" w:themeColor="background1" w:themeShade="80"/>
                      <w:szCs w:val="22"/>
                    </w:rPr>
                    <w:t>$1,800</w:t>
                  </w:r>
                </w:p>
              </w:tc>
            </w:tr>
            <w:tr w:rsidR="003A00E8" w:rsidRPr="00117035" w14:paraId="0B38C062" w14:textId="77777777">
              <w:tc>
                <w:tcPr>
                  <w:tcW w:w="7309" w:type="dxa"/>
                  <w:gridSpan w:val="2"/>
                </w:tcPr>
                <w:p w14:paraId="2B37F840" w14:textId="77777777" w:rsidR="003A00E8" w:rsidRPr="00A805BD" w:rsidRDefault="003A00E8" w:rsidP="00244EF7">
                  <w:pPr>
                    <w:jc w:val="right"/>
                    <w:rPr>
                      <w:b/>
                      <w:color w:val="808080" w:themeColor="background1" w:themeShade="80"/>
                      <w:szCs w:val="22"/>
                    </w:rPr>
                  </w:pPr>
                  <w:r w:rsidRPr="00A805BD">
                    <w:rPr>
                      <w:b/>
                      <w:color w:val="808080" w:themeColor="background1" w:themeShade="80"/>
                      <w:szCs w:val="22"/>
                    </w:rPr>
                    <w:t>Total</w:t>
                  </w:r>
                </w:p>
              </w:tc>
              <w:tc>
                <w:tcPr>
                  <w:tcW w:w="1080" w:type="dxa"/>
                </w:tcPr>
                <w:p w14:paraId="1D3B6906" w14:textId="77777777" w:rsidR="003A00E8" w:rsidRPr="00A805BD" w:rsidRDefault="003A00E8" w:rsidP="005206BD">
                  <w:pPr>
                    <w:rPr>
                      <w:color w:val="808080" w:themeColor="background1" w:themeShade="80"/>
                      <w:szCs w:val="22"/>
                    </w:rPr>
                  </w:pPr>
                  <w:r w:rsidRPr="00A805BD">
                    <w:rPr>
                      <w:color w:val="808080" w:themeColor="background1" w:themeShade="80"/>
                      <w:szCs w:val="22"/>
                    </w:rPr>
                    <w:t>$</w:t>
                  </w:r>
                  <w:r w:rsidR="00534776">
                    <w:rPr>
                      <w:color w:val="808080" w:themeColor="background1" w:themeShade="80"/>
                      <w:szCs w:val="22"/>
                    </w:rPr>
                    <w:t>4,660</w:t>
                  </w:r>
                </w:p>
              </w:tc>
            </w:tr>
          </w:tbl>
          <w:p w14:paraId="1B3921BB" w14:textId="77777777" w:rsidR="003A00E8" w:rsidRPr="00117035" w:rsidRDefault="003A00E8" w:rsidP="003A00E8">
            <w:pPr>
              <w:rPr>
                <w:b/>
                <w:szCs w:val="22"/>
              </w:rPr>
            </w:pPr>
          </w:p>
          <w:p w14:paraId="79CFCA43" w14:textId="77777777" w:rsidR="0059186D" w:rsidRPr="00117035" w:rsidRDefault="0059186D" w:rsidP="005206BD">
            <w:pPr>
              <w:rPr>
                <w:b/>
                <w:szCs w:val="22"/>
              </w:rPr>
            </w:pPr>
          </w:p>
          <w:p w14:paraId="338F698C" w14:textId="77777777" w:rsidR="0059186D" w:rsidRPr="00117035" w:rsidRDefault="0059186D" w:rsidP="005206BD">
            <w:pPr>
              <w:rPr>
                <w:b/>
                <w:szCs w:val="22"/>
              </w:rPr>
            </w:pPr>
          </w:p>
        </w:tc>
      </w:tr>
    </w:tbl>
    <w:p w14:paraId="2C4AB942" w14:textId="77777777" w:rsidR="00AF735E" w:rsidRPr="00683EF3" w:rsidRDefault="00AF735E" w:rsidP="00AF735E">
      <w:pPr>
        <w:rPr>
          <w:rFonts w:asciiTheme="majorHAnsi" w:hAnsiTheme="majorHAnsi"/>
          <w:szCs w:val="22"/>
        </w:rPr>
      </w:pPr>
    </w:p>
    <w:p w14:paraId="49B1D418" w14:textId="1301B13B" w:rsidR="005206BD" w:rsidRPr="00683EF3" w:rsidRDefault="00F06131" w:rsidP="00F06131">
      <w:pPr>
        <w:rPr>
          <w:rFonts w:asciiTheme="majorHAnsi" w:hAnsiTheme="majorHAnsi"/>
          <w:szCs w:val="22"/>
        </w:rPr>
      </w:pPr>
      <w:r w:rsidRPr="00683EF3">
        <w:rPr>
          <w:rFonts w:asciiTheme="majorHAnsi" w:hAnsiTheme="majorHAnsi" w:cs="Cambria"/>
          <w:color w:val="000000"/>
          <w:szCs w:val="22"/>
        </w:rPr>
        <w:t xml:space="preserve">Please submit this form to DIL through our online submission system at </w:t>
      </w:r>
      <w:hyperlink r:id="rId11" w:tgtFrame="_blank" w:history="1">
        <w:r w:rsidR="00683EF3" w:rsidRPr="00683EF3">
          <w:rPr>
            <w:rStyle w:val="Hyperlink"/>
            <w:rFonts w:asciiTheme="majorHAnsi" w:hAnsiTheme="majorHAnsi" w:cs="Arial"/>
            <w:color w:val="auto"/>
            <w:szCs w:val="22"/>
            <w:u w:val="none"/>
            <w:shd w:val="clear" w:color="auto" w:fill="FFFFFF"/>
          </w:rPr>
          <w:t>tinyurl.com/exploreDIL2014</w:t>
        </w:r>
      </w:hyperlink>
      <w:r w:rsidR="00683EF3" w:rsidRPr="00683EF3">
        <w:rPr>
          <w:rFonts w:asciiTheme="majorHAnsi" w:hAnsiTheme="majorHAnsi"/>
          <w:szCs w:val="22"/>
        </w:rPr>
        <w:t xml:space="preserve"> </w:t>
      </w:r>
      <w:r w:rsidRPr="00683EF3">
        <w:rPr>
          <w:rFonts w:asciiTheme="majorHAnsi" w:hAnsiTheme="majorHAnsi" w:cs="Cambria"/>
          <w:color w:val="000000"/>
          <w:szCs w:val="22"/>
        </w:rPr>
        <w:t>by 11:59 pm</w:t>
      </w:r>
      <w:r w:rsidRPr="00683EF3">
        <w:rPr>
          <w:rFonts w:asciiTheme="majorHAnsi" w:hAnsiTheme="majorHAnsi"/>
          <w:szCs w:val="22"/>
        </w:rPr>
        <w:t xml:space="preserve"> Pacific Time on March 20, 2014.</w:t>
      </w:r>
    </w:p>
    <w:p w14:paraId="6268C56E" w14:textId="77777777" w:rsidR="00180D56" w:rsidRDefault="00180D56" w:rsidP="00F06131"/>
    <w:p w14:paraId="686AFD34" w14:textId="77777777" w:rsidR="00180D56" w:rsidRDefault="00180D56" w:rsidP="00F06131"/>
    <w:p w14:paraId="20083D75" w14:textId="77777777" w:rsidR="00180D56" w:rsidRPr="00D0764F" w:rsidRDefault="00180D56" w:rsidP="00180D56">
      <w:pPr>
        <w:rPr>
          <w:b/>
        </w:rPr>
      </w:pPr>
      <w:r w:rsidRPr="00D0764F">
        <w:rPr>
          <w:b/>
        </w:rPr>
        <w:t>Questions?</w:t>
      </w:r>
    </w:p>
    <w:p w14:paraId="6DAC61ED" w14:textId="34E8CF62" w:rsidR="00180D56" w:rsidRPr="00F06131" w:rsidRDefault="00180D56" w:rsidP="00180D56">
      <w:r w:rsidRPr="002265B3">
        <w:rPr>
          <w:b/>
        </w:rPr>
        <w:t xml:space="preserve">Email </w:t>
      </w:r>
      <w:hyperlink r:id="rId12" w:history="1">
        <w:r w:rsidRPr="00D0764F">
          <w:rPr>
            <w:rStyle w:val="Hyperlink"/>
          </w:rPr>
          <w:t>dil-grants@berkeley.edu</w:t>
        </w:r>
      </w:hyperlink>
    </w:p>
    <w:sectPr w:rsidR="00180D56" w:rsidRPr="00F06131" w:rsidSect="00337DD6">
      <w:headerReference w:type="default" r:id="rId13"/>
      <w:pgSz w:w="12240" w:h="15840"/>
      <w:pgMar w:top="1152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8C66" w14:textId="77777777" w:rsidR="00E31B7F" w:rsidRDefault="00E31B7F">
      <w:r>
        <w:separator/>
      </w:r>
    </w:p>
  </w:endnote>
  <w:endnote w:type="continuationSeparator" w:id="0">
    <w:p w14:paraId="6562289A" w14:textId="77777777" w:rsidR="00E31B7F" w:rsidRDefault="00E3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286B" w14:textId="77777777" w:rsidR="00E31B7F" w:rsidRDefault="00E31B7F">
      <w:r>
        <w:separator/>
      </w:r>
    </w:p>
  </w:footnote>
  <w:footnote w:type="continuationSeparator" w:id="0">
    <w:p w14:paraId="4DF40FD9" w14:textId="77777777" w:rsidR="00E31B7F" w:rsidRDefault="00E3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62A3" w14:textId="77777777" w:rsidR="00C35E89" w:rsidRDefault="00C35E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68431" wp14:editId="616A45C8">
          <wp:simplePos x="0" y="0"/>
          <wp:positionH relativeFrom="column">
            <wp:posOffset>-914400</wp:posOffset>
          </wp:positionH>
          <wp:positionV relativeFrom="paragraph">
            <wp:posOffset>-182880</wp:posOffset>
          </wp:positionV>
          <wp:extent cx="7010400" cy="745067"/>
          <wp:effectExtent l="0" t="0" r="0" b="0"/>
          <wp:wrapNone/>
          <wp:docPr id="4" name="Picture 3" descr="DILsponsore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sponsored-header.jpg"/>
                  <pic:cNvPicPr/>
                </pic:nvPicPr>
                <pic:blipFill>
                  <a:blip r:embed="rId1"/>
                  <a:srcRect l="17460"/>
                  <a:stretch>
                    <a:fillRect/>
                  </a:stretch>
                </pic:blipFill>
                <pic:spPr>
                  <a:xfrm>
                    <a:off x="0" y="0"/>
                    <a:ext cx="7010400" cy="74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AFB406" w14:textId="77777777" w:rsidR="00C35E89" w:rsidRDefault="00C35E89">
    <w:pPr>
      <w:pStyle w:val="Header"/>
    </w:pPr>
  </w:p>
  <w:p w14:paraId="609A157B" w14:textId="77777777" w:rsidR="00C35E89" w:rsidRDefault="00C35E89">
    <w:pPr>
      <w:pStyle w:val="Header"/>
    </w:pPr>
  </w:p>
  <w:p w14:paraId="1236FE95" w14:textId="77777777" w:rsidR="00C35E89" w:rsidRDefault="00C35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76E0FC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">
    <w:nsid w:val="0E0B75A3"/>
    <w:multiLevelType w:val="hybridMultilevel"/>
    <w:tmpl w:val="502050B0"/>
    <w:lvl w:ilvl="0" w:tplc="3F2E2CD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DB4"/>
    <w:multiLevelType w:val="hybridMultilevel"/>
    <w:tmpl w:val="661A6492"/>
    <w:lvl w:ilvl="0" w:tplc="012C728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807"/>
    <w:multiLevelType w:val="hybridMultilevel"/>
    <w:tmpl w:val="B95C770C"/>
    <w:lvl w:ilvl="0" w:tplc="012C728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152EF"/>
    <w:multiLevelType w:val="hybridMultilevel"/>
    <w:tmpl w:val="E802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E"/>
    <w:rsid w:val="00001D24"/>
    <w:rsid w:val="000023B3"/>
    <w:rsid w:val="000237B5"/>
    <w:rsid w:val="00027976"/>
    <w:rsid w:val="00034B97"/>
    <w:rsid w:val="00037E0F"/>
    <w:rsid w:val="00042E6C"/>
    <w:rsid w:val="00046E36"/>
    <w:rsid w:val="00052E90"/>
    <w:rsid w:val="00063C32"/>
    <w:rsid w:val="00107DB7"/>
    <w:rsid w:val="00117035"/>
    <w:rsid w:val="001323A0"/>
    <w:rsid w:val="00151CD5"/>
    <w:rsid w:val="001722F4"/>
    <w:rsid w:val="0017620A"/>
    <w:rsid w:val="00177E7D"/>
    <w:rsid w:val="00180D56"/>
    <w:rsid w:val="001814E9"/>
    <w:rsid w:val="001928B3"/>
    <w:rsid w:val="00194F98"/>
    <w:rsid w:val="001B3439"/>
    <w:rsid w:val="001C1A1C"/>
    <w:rsid w:val="001D4F61"/>
    <w:rsid w:val="001E40F2"/>
    <w:rsid w:val="001F3A45"/>
    <w:rsid w:val="002265B3"/>
    <w:rsid w:val="00244EF7"/>
    <w:rsid w:val="002A004F"/>
    <w:rsid w:val="002C0885"/>
    <w:rsid w:val="002C3CBA"/>
    <w:rsid w:val="002E4A1B"/>
    <w:rsid w:val="003228B0"/>
    <w:rsid w:val="003264E6"/>
    <w:rsid w:val="00331B93"/>
    <w:rsid w:val="00334C67"/>
    <w:rsid w:val="00337DD6"/>
    <w:rsid w:val="00340076"/>
    <w:rsid w:val="00341F35"/>
    <w:rsid w:val="003578E9"/>
    <w:rsid w:val="00390AE4"/>
    <w:rsid w:val="00396A1D"/>
    <w:rsid w:val="003A00E8"/>
    <w:rsid w:val="003C2996"/>
    <w:rsid w:val="003F4BDC"/>
    <w:rsid w:val="004043DF"/>
    <w:rsid w:val="00427360"/>
    <w:rsid w:val="00476A24"/>
    <w:rsid w:val="004E6C8B"/>
    <w:rsid w:val="004F712D"/>
    <w:rsid w:val="005065C7"/>
    <w:rsid w:val="0051376B"/>
    <w:rsid w:val="005206BD"/>
    <w:rsid w:val="00534776"/>
    <w:rsid w:val="00564AE2"/>
    <w:rsid w:val="00566437"/>
    <w:rsid w:val="005757A4"/>
    <w:rsid w:val="0059186D"/>
    <w:rsid w:val="005A09EE"/>
    <w:rsid w:val="005A21B0"/>
    <w:rsid w:val="005A4DDD"/>
    <w:rsid w:val="005C062F"/>
    <w:rsid w:val="005C366B"/>
    <w:rsid w:val="005D1A3F"/>
    <w:rsid w:val="005D45B7"/>
    <w:rsid w:val="005D5049"/>
    <w:rsid w:val="006140E2"/>
    <w:rsid w:val="00623403"/>
    <w:rsid w:val="00630A6B"/>
    <w:rsid w:val="00672AC3"/>
    <w:rsid w:val="00683EF3"/>
    <w:rsid w:val="006903D7"/>
    <w:rsid w:val="00693DDA"/>
    <w:rsid w:val="006A7AA8"/>
    <w:rsid w:val="006F47C3"/>
    <w:rsid w:val="006F7997"/>
    <w:rsid w:val="00703F38"/>
    <w:rsid w:val="00713F47"/>
    <w:rsid w:val="00723DC6"/>
    <w:rsid w:val="00732AB8"/>
    <w:rsid w:val="00760B14"/>
    <w:rsid w:val="007641D5"/>
    <w:rsid w:val="00765D68"/>
    <w:rsid w:val="0079058B"/>
    <w:rsid w:val="00797D3A"/>
    <w:rsid w:val="007A1F41"/>
    <w:rsid w:val="007A46D4"/>
    <w:rsid w:val="007B152A"/>
    <w:rsid w:val="007E5FD7"/>
    <w:rsid w:val="007F10F6"/>
    <w:rsid w:val="00807CA7"/>
    <w:rsid w:val="00823437"/>
    <w:rsid w:val="00860299"/>
    <w:rsid w:val="0086095C"/>
    <w:rsid w:val="00862609"/>
    <w:rsid w:val="0089589E"/>
    <w:rsid w:val="008B3D11"/>
    <w:rsid w:val="008D39FA"/>
    <w:rsid w:val="008D5548"/>
    <w:rsid w:val="00921E5F"/>
    <w:rsid w:val="0092291B"/>
    <w:rsid w:val="00924638"/>
    <w:rsid w:val="00925970"/>
    <w:rsid w:val="00962892"/>
    <w:rsid w:val="00967929"/>
    <w:rsid w:val="0098389F"/>
    <w:rsid w:val="00997B04"/>
    <w:rsid w:val="009C70E1"/>
    <w:rsid w:val="009F10E3"/>
    <w:rsid w:val="00A006EE"/>
    <w:rsid w:val="00A14919"/>
    <w:rsid w:val="00A3554C"/>
    <w:rsid w:val="00A56256"/>
    <w:rsid w:val="00A60849"/>
    <w:rsid w:val="00A64816"/>
    <w:rsid w:val="00A66A0B"/>
    <w:rsid w:val="00A805BD"/>
    <w:rsid w:val="00A97914"/>
    <w:rsid w:val="00AA1AE2"/>
    <w:rsid w:val="00AA1EA2"/>
    <w:rsid w:val="00AC19EA"/>
    <w:rsid w:val="00AC31DE"/>
    <w:rsid w:val="00AE4E84"/>
    <w:rsid w:val="00AE7478"/>
    <w:rsid w:val="00AF735E"/>
    <w:rsid w:val="00B430BD"/>
    <w:rsid w:val="00B52F34"/>
    <w:rsid w:val="00B64469"/>
    <w:rsid w:val="00B84244"/>
    <w:rsid w:val="00B8504C"/>
    <w:rsid w:val="00BA1D19"/>
    <w:rsid w:val="00BA3F15"/>
    <w:rsid w:val="00BC0903"/>
    <w:rsid w:val="00BC3E49"/>
    <w:rsid w:val="00BC4EB1"/>
    <w:rsid w:val="00BE5DA0"/>
    <w:rsid w:val="00C045A3"/>
    <w:rsid w:val="00C245B4"/>
    <w:rsid w:val="00C35E89"/>
    <w:rsid w:val="00C75F4F"/>
    <w:rsid w:val="00C94CE5"/>
    <w:rsid w:val="00CA1941"/>
    <w:rsid w:val="00CA6D0E"/>
    <w:rsid w:val="00CC3C14"/>
    <w:rsid w:val="00CE7211"/>
    <w:rsid w:val="00CF4710"/>
    <w:rsid w:val="00D0764F"/>
    <w:rsid w:val="00D11A5B"/>
    <w:rsid w:val="00D51D93"/>
    <w:rsid w:val="00D576BF"/>
    <w:rsid w:val="00D73637"/>
    <w:rsid w:val="00DA5AC9"/>
    <w:rsid w:val="00E12E38"/>
    <w:rsid w:val="00E22D32"/>
    <w:rsid w:val="00E262FC"/>
    <w:rsid w:val="00E31B7F"/>
    <w:rsid w:val="00E32D57"/>
    <w:rsid w:val="00E458BB"/>
    <w:rsid w:val="00E516A7"/>
    <w:rsid w:val="00E725BF"/>
    <w:rsid w:val="00E73CDF"/>
    <w:rsid w:val="00E96FC4"/>
    <w:rsid w:val="00EA5CA3"/>
    <w:rsid w:val="00EC079C"/>
    <w:rsid w:val="00EC1B41"/>
    <w:rsid w:val="00ED10A5"/>
    <w:rsid w:val="00F00F69"/>
    <w:rsid w:val="00F06131"/>
    <w:rsid w:val="00F320C1"/>
    <w:rsid w:val="00F36F49"/>
    <w:rsid w:val="00F40906"/>
    <w:rsid w:val="00F50E2D"/>
    <w:rsid w:val="00F8776C"/>
    <w:rsid w:val="00FA6FA7"/>
    <w:rsid w:val="00FC3DC2"/>
    <w:rsid w:val="00FC55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1A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07A5"/>
    <w:pPr>
      <w:contextualSpacing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AF735E"/>
    <w:pPr>
      <w:numPr>
        <w:numId w:val="1"/>
      </w:numPr>
      <w:ind w:left="0" w:firstLine="0"/>
    </w:pPr>
    <w:rPr>
      <w:rFonts w:ascii="Times New Roman" w:eastAsia="Times New Roman" w:hAnsi="Times New Roman"/>
      <w:sz w:val="24"/>
    </w:rPr>
  </w:style>
  <w:style w:type="character" w:styleId="Hyperlink">
    <w:name w:val="Hyperlink"/>
    <w:rsid w:val="00CE7211"/>
    <w:rPr>
      <w:color w:val="0000FF"/>
      <w:u w:val="single"/>
    </w:rPr>
  </w:style>
  <w:style w:type="paragraph" w:styleId="ListParagraph">
    <w:name w:val="List Paragraph"/>
    <w:basedOn w:val="Normal"/>
    <w:rsid w:val="007B152A"/>
    <w:pPr>
      <w:ind w:left="720"/>
    </w:pPr>
  </w:style>
  <w:style w:type="paragraph" w:styleId="Header">
    <w:name w:val="header"/>
    <w:basedOn w:val="Normal"/>
    <w:link w:val="HeaderChar"/>
    <w:rsid w:val="005206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206BD"/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5206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06BD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5A0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9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9058B"/>
    <w:rPr>
      <w:color w:val="800080"/>
      <w:u w:val="single"/>
    </w:rPr>
  </w:style>
  <w:style w:type="character" w:styleId="CommentReference">
    <w:name w:val="annotation reference"/>
    <w:basedOn w:val="DefaultParagraphFont"/>
    <w:rsid w:val="00703F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3F3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03F3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03F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03F38"/>
    <w:rPr>
      <w:rFonts w:ascii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A1F41"/>
    <w:pPr>
      <w:spacing w:before="100" w:beforeAutospacing="1" w:after="100" w:afterAutospacing="1"/>
      <w:contextualSpacing w:val="0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A1F41"/>
  </w:style>
  <w:style w:type="character" w:styleId="Strong">
    <w:name w:val="Strong"/>
    <w:basedOn w:val="DefaultParagraphFont"/>
    <w:uiPriority w:val="22"/>
    <w:qFormat/>
    <w:rsid w:val="00194F98"/>
    <w:rPr>
      <w:b/>
      <w:bCs/>
    </w:rPr>
  </w:style>
  <w:style w:type="character" w:styleId="Emphasis">
    <w:name w:val="Emphasis"/>
    <w:basedOn w:val="DefaultParagraphFont"/>
    <w:uiPriority w:val="20"/>
    <w:qFormat/>
    <w:rsid w:val="00194F98"/>
    <w:rPr>
      <w:i/>
      <w:iCs/>
    </w:rPr>
  </w:style>
  <w:style w:type="paragraph" w:styleId="Revision">
    <w:name w:val="Revision"/>
    <w:hidden/>
    <w:rsid w:val="00672AC3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07A5"/>
    <w:pPr>
      <w:contextualSpacing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AF735E"/>
    <w:pPr>
      <w:numPr>
        <w:numId w:val="1"/>
      </w:numPr>
      <w:ind w:left="0" w:firstLine="0"/>
    </w:pPr>
    <w:rPr>
      <w:rFonts w:ascii="Times New Roman" w:eastAsia="Times New Roman" w:hAnsi="Times New Roman"/>
      <w:sz w:val="24"/>
    </w:rPr>
  </w:style>
  <w:style w:type="character" w:styleId="Hyperlink">
    <w:name w:val="Hyperlink"/>
    <w:rsid w:val="00CE7211"/>
    <w:rPr>
      <w:color w:val="0000FF"/>
      <w:u w:val="single"/>
    </w:rPr>
  </w:style>
  <w:style w:type="paragraph" w:styleId="ListParagraph">
    <w:name w:val="List Paragraph"/>
    <w:basedOn w:val="Normal"/>
    <w:rsid w:val="007B152A"/>
    <w:pPr>
      <w:ind w:left="720"/>
    </w:pPr>
  </w:style>
  <w:style w:type="paragraph" w:styleId="Header">
    <w:name w:val="header"/>
    <w:basedOn w:val="Normal"/>
    <w:link w:val="HeaderChar"/>
    <w:rsid w:val="005206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206BD"/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5206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06BD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5A0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9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9058B"/>
    <w:rPr>
      <w:color w:val="800080"/>
      <w:u w:val="single"/>
    </w:rPr>
  </w:style>
  <w:style w:type="character" w:styleId="CommentReference">
    <w:name w:val="annotation reference"/>
    <w:basedOn w:val="DefaultParagraphFont"/>
    <w:rsid w:val="00703F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3F3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03F3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03F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03F38"/>
    <w:rPr>
      <w:rFonts w:ascii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A1F41"/>
    <w:pPr>
      <w:spacing w:before="100" w:beforeAutospacing="1" w:after="100" w:afterAutospacing="1"/>
      <w:contextualSpacing w:val="0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A1F41"/>
  </w:style>
  <w:style w:type="character" w:styleId="Strong">
    <w:name w:val="Strong"/>
    <w:basedOn w:val="DefaultParagraphFont"/>
    <w:uiPriority w:val="22"/>
    <w:qFormat/>
    <w:rsid w:val="00194F98"/>
    <w:rPr>
      <w:b/>
      <w:bCs/>
    </w:rPr>
  </w:style>
  <w:style w:type="character" w:styleId="Emphasis">
    <w:name w:val="Emphasis"/>
    <w:basedOn w:val="DefaultParagraphFont"/>
    <w:uiPriority w:val="20"/>
    <w:qFormat/>
    <w:rsid w:val="00194F98"/>
    <w:rPr>
      <w:i/>
      <w:iCs/>
    </w:rPr>
  </w:style>
  <w:style w:type="paragraph" w:styleId="Revision">
    <w:name w:val="Revision"/>
    <w:hidden/>
    <w:rsid w:val="00672AC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l-grants@berkele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exploreDIL20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l-grants@berkeley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oprals.state.gov/content.asp?content_id=184&amp;menu_id=7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E4F23-E678-4DB0-AC4A-6796177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2404</CharactersWithSpaces>
  <SharedDoc>false</SharedDoc>
  <HLinks>
    <vt:vector size="84" baseType="variant">
      <vt:variant>
        <vt:i4>5439547</vt:i4>
      </vt:variant>
      <vt:variant>
        <vt:i4>39</vt:i4>
      </vt:variant>
      <vt:variant>
        <vt:i4>0</vt:i4>
      </vt:variant>
      <vt:variant>
        <vt:i4>5</vt:i4>
      </vt:variant>
      <vt:variant>
        <vt:lpwstr>mailto:dil-grants@berkeley.edu</vt:lpwstr>
      </vt:variant>
      <vt:variant>
        <vt:lpwstr/>
      </vt:variant>
      <vt:variant>
        <vt:i4>7340043</vt:i4>
      </vt:variant>
      <vt:variant>
        <vt:i4>36</vt:i4>
      </vt:variant>
      <vt:variant>
        <vt:i4>0</vt:i4>
      </vt:variant>
      <vt:variant>
        <vt:i4>5</vt:i4>
      </vt:variant>
      <vt:variant>
        <vt:lpwstr>http://dil.berkeley.edu/development-engineering-network/collaborations/</vt:lpwstr>
      </vt:variant>
      <vt:variant>
        <vt:lpwstr/>
      </vt:variant>
      <vt:variant>
        <vt:i4>5439547</vt:i4>
      </vt:variant>
      <vt:variant>
        <vt:i4>33</vt:i4>
      </vt:variant>
      <vt:variant>
        <vt:i4>0</vt:i4>
      </vt:variant>
      <vt:variant>
        <vt:i4>5</vt:i4>
      </vt:variant>
      <vt:variant>
        <vt:lpwstr>mailto:dil-grants@berkeley.edu</vt:lpwstr>
      </vt:variant>
      <vt:variant>
        <vt:lpwstr/>
      </vt:variant>
      <vt:variant>
        <vt:i4>54</vt:i4>
      </vt:variant>
      <vt:variant>
        <vt:i4>30</vt:i4>
      </vt:variant>
      <vt:variant>
        <vt:i4>0</vt:i4>
      </vt:variant>
      <vt:variant>
        <vt:i4>5</vt:i4>
      </vt:variant>
      <vt:variant>
        <vt:lpwstr>http://poverty-action.org</vt:lpwstr>
      </vt:variant>
      <vt:variant>
        <vt:lpwstr/>
      </vt:variant>
      <vt:variant>
        <vt:i4>4128833</vt:i4>
      </vt:variant>
      <vt:variant>
        <vt:i4>27</vt:i4>
      </vt:variant>
      <vt:variant>
        <vt:i4>0</vt:i4>
      </vt:variant>
      <vt:variant>
        <vt:i4>5</vt:i4>
      </vt:variant>
      <vt:variant>
        <vt:lpwstr>http://research.microsoft.com/en-us/groups/tem/</vt:lpwstr>
      </vt:variant>
      <vt:variant>
        <vt:lpwstr/>
      </vt:variant>
      <vt:variant>
        <vt:i4>5505091</vt:i4>
      </vt:variant>
      <vt:variant>
        <vt:i4>24</vt:i4>
      </vt:variant>
      <vt:variant>
        <vt:i4>0</vt:i4>
      </vt:variant>
      <vt:variant>
        <vt:i4>5</vt:i4>
      </vt:variant>
      <vt:variant>
        <vt:lpwstr>http://intel.com</vt:lpwstr>
      </vt:variant>
      <vt:variant>
        <vt:lpwstr/>
      </vt:variant>
      <vt:variant>
        <vt:i4>8060938</vt:i4>
      </vt:variant>
      <vt:variant>
        <vt:i4>21</vt:i4>
      </vt:variant>
      <vt:variant>
        <vt:i4>0</vt:i4>
      </vt:variant>
      <vt:variant>
        <vt:i4>5</vt:i4>
      </vt:variant>
      <vt:variant>
        <vt:lpwstr>http://ideo.org</vt:lpwstr>
      </vt:variant>
      <vt:variant>
        <vt:lpwstr/>
      </vt:variant>
      <vt:variant>
        <vt:i4>7012427</vt:i4>
      </vt:variant>
      <vt:variant>
        <vt:i4>18</vt:i4>
      </vt:variant>
      <vt:variant>
        <vt:i4>0</vt:i4>
      </vt:variant>
      <vt:variant>
        <vt:i4>5</vt:i4>
      </vt:variant>
      <vt:variant>
        <vt:lpwstr>http://www.akdn.org/akf.asp</vt:lpwstr>
      </vt:variant>
      <vt:variant>
        <vt:lpwstr/>
      </vt:variant>
      <vt:variant>
        <vt:i4>6488066</vt:i4>
      </vt:variant>
      <vt:variant>
        <vt:i4>15</vt:i4>
      </vt:variant>
      <vt:variant>
        <vt:i4>0</vt:i4>
      </vt:variant>
      <vt:variant>
        <vt:i4>5</vt:i4>
      </vt:variant>
      <vt:variant>
        <vt:lpwstr>http://brac.net</vt:lpwstr>
      </vt:variant>
      <vt:variant>
        <vt:lpwstr/>
      </vt:variant>
      <vt:variant>
        <vt:i4>2883625</vt:i4>
      </vt:variant>
      <vt:variant>
        <vt:i4>12</vt:i4>
      </vt:variant>
      <vt:variant>
        <vt:i4>0</vt:i4>
      </vt:variant>
      <vt:variant>
        <vt:i4>5</vt:i4>
      </vt:variant>
      <vt:variant>
        <vt:lpwstr>http://dil.berkeley.edu/technology-portfolio/competitions-incentives/fall-2013-explore</vt:lpwstr>
      </vt:variant>
      <vt:variant>
        <vt:lpwstr/>
      </vt:variant>
      <vt:variant>
        <vt:i4>5439547</vt:i4>
      </vt:variant>
      <vt:variant>
        <vt:i4>9</vt:i4>
      </vt:variant>
      <vt:variant>
        <vt:i4>0</vt:i4>
      </vt:variant>
      <vt:variant>
        <vt:i4>5</vt:i4>
      </vt:variant>
      <vt:variant>
        <vt:lpwstr>mailto:dil-grants@berkeley.edu</vt:lpwstr>
      </vt:variant>
      <vt:variant>
        <vt:lpwstr/>
      </vt:variant>
      <vt:variant>
        <vt:i4>2949230</vt:i4>
      </vt:variant>
      <vt:variant>
        <vt:i4>6</vt:i4>
      </vt:variant>
      <vt:variant>
        <vt:i4>0</vt:i4>
      </vt:variant>
      <vt:variant>
        <vt:i4>5</vt:i4>
      </vt:variant>
      <vt:variant>
        <vt:lpwstr>http://dil.berkeley.edu/about-us/approach/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http://dil.berkeley.edu/about-us/approach/</vt:lpwstr>
      </vt:variant>
      <vt:variant>
        <vt:lpwstr/>
      </vt:variant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http://dil.berkeley.edu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Temina Madon</dc:creator>
  <cp:lastModifiedBy>Anh-Thi Le</cp:lastModifiedBy>
  <cp:revision>3</cp:revision>
  <dcterms:created xsi:type="dcterms:W3CDTF">2014-02-04T00:54:00Z</dcterms:created>
  <dcterms:modified xsi:type="dcterms:W3CDTF">2014-02-04T01:02:00Z</dcterms:modified>
</cp:coreProperties>
</file>